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8C" w:rsidRPr="00705E8C" w:rsidRDefault="00705E8C" w:rsidP="00705E8C">
      <w:pPr>
        <w:pStyle w:val="Heading1"/>
      </w:pPr>
      <w:r w:rsidRPr="00705E8C">
        <w:t>Master of Public Health Monitoring and Evaluation (MPHME)</w:t>
      </w:r>
    </w:p>
    <w:p w:rsidR="00705E8C" w:rsidRPr="00705E8C" w:rsidRDefault="00705E8C" w:rsidP="00705E8C">
      <w:pPr>
        <w:pStyle w:val="Heading1"/>
        <w:rPr>
          <w:lang w:val="en-GB"/>
        </w:rPr>
      </w:pPr>
      <w:r>
        <w:t>Background</w:t>
      </w:r>
    </w:p>
    <w:p w:rsidR="00705E8C" w:rsidRPr="00A74280" w:rsidRDefault="00705E8C" w:rsidP="00705E8C">
      <w:p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 xml:space="preserve">With the increasing demand for governments and organisations to demonstrate results towards achievement of development goals, there has been a surge in the demand for skilled </w:t>
      </w:r>
      <w:r w:rsidR="006A74B0">
        <w:rPr>
          <w:rFonts w:ascii="Times New Roman" w:hAnsi="Times New Roman"/>
          <w:sz w:val="24"/>
          <w:szCs w:val="24"/>
        </w:rPr>
        <w:t>Monitoring &amp; Evaluation (</w:t>
      </w:r>
      <w:r w:rsidRPr="00A74280">
        <w:rPr>
          <w:rFonts w:ascii="Times New Roman" w:hAnsi="Times New Roman"/>
          <w:sz w:val="24"/>
          <w:szCs w:val="24"/>
        </w:rPr>
        <w:t>M&amp;E</w:t>
      </w:r>
      <w:r w:rsidR="006A74B0">
        <w:rPr>
          <w:rFonts w:ascii="Times New Roman" w:hAnsi="Times New Roman"/>
          <w:sz w:val="24"/>
          <w:szCs w:val="24"/>
        </w:rPr>
        <w:t>)</w:t>
      </w:r>
      <w:r w:rsidRPr="00A74280">
        <w:rPr>
          <w:rFonts w:ascii="Times New Roman" w:hAnsi="Times New Roman"/>
          <w:sz w:val="24"/>
          <w:szCs w:val="24"/>
        </w:rPr>
        <w:t xml:space="preserve"> practitioners. This demand has occurred in the face of limited opportunities for development of individual’s capacities to effectively, efficiently and sustainably perform M&amp;E functions in Uganda and the Sub-Saharan region at large. </w:t>
      </w:r>
    </w:p>
    <w:p w:rsidR="00705E8C" w:rsidRPr="00A74280" w:rsidRDefault="00705E8C" w:rsidP="00705E8C">
      <w:pPr>
        <w:tabs>
          <w:tab w:val="left" w:pos="270"/>
          <w:tab w:val="left" w:pos="360"/>
        </w:tabs>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 xml:space="preserve">It is in response to this capacity development gap, that Makerere University through its School of Public Health has developed a graduate training programme </w:t>
      </w:r>
      <w:r w:rsidRPr="006A74B0">
        <w:rPr>
          <w:rFonts w:ascii="Times New Roman" w:hAnsi="Times New Roman"/>
          <w:sz w:val="24"/>
          <w:szCs w:val="24"/>
        </w:rPr>
        <w:t>in</w:t>
      </w:r>
      <w:r w:rsidRPr="006A74B0">
        <w:rPr>
          <w:rFonts w:ascii="Times New Roman" w:hAnsi="Times New Roman"/>
          <w:b/>
          <w:sz w:val="24"/>
          <w:szCs w:val="24"/>
        </w:rPr>
        <w:t xml:space="preserve"> Public Health Monitoring and Evaluation.</w:t>
      </w:r>
      <w:r w:rsidRPr="006A74B0">
        <w:rPr>
          <w:rFonts w:ascii="Times New Roman" w:hAnsi="Times New Roman"/>
          <w:sz w:val="24"/>
          <w:szCs w:val="24"/>
        </w:rPr>
        <w:t xml:space="preserve"> </w:t>
      </w:r>
      <w:r w:rsidRPr="00A74280">
        <w:rPr>
          <w:rFonts w:ascii="Times New Roman" w:hAnsi="Times New Roman"/>
          <w:sz w:val="24"/>
          <w:szCs w:val="24"/>
        </w:rPr>
        <w:t>The programme will build the capacity of both upcoming and already existing M&amp;E practitioners, managers, planners and professionals from diverse development sectors in order to build a critical mass of individuals with the technical expertise to institute functional M&amp;E systems both at policy and operational levels in Uganda and the Sub-Saharan region.</w:t>
      </w:r>
    </w:p>
    <w:p w:rsidR="00705E8C" w:rsidRPr="00A74280" w:rsidRDefault="00705E8C" w:rsidP="00705E8C">
      <w:pPr>
        <w:tabs>
          <w:tab w:val="left" w:pos="270"/>
          <w:tab w:val="left" w:pos="360"/>
        </w:tabs>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Graduates of the MPHME programme will be equipped with the skills to evaluate public health policies, programs and projects and guide strategic decisions in the implementation of development efforts at global, regional, national and local government levels.</w:t>
      </w:r>
      <w:bookmarkStart w:id="0" w:name="_Toc319492946"/>
    </w:p>
    <w:p w:rsidR="00705E8C" w:rsidRPr="00A74280" w:rsidRDefault="006A74B0" w:rsidP="006A74B0">
      <w:pPr>
        <w:pStyle w:val="Heading1"/>
      </w:pPr>
      <w:bookmarkStart w:id="1" w:name="_Toc525895635"/>
      <w:r>
        <w:t>Goal and Objectives of t</w:t>
      </w:r>
      <w:r w:rsidRPr="00A74280">
        <w:t>he Programme</w:t>
      </w:r>
      <w:bookmarkEnd w:id="0"/>
      <w:bookmarkEnd w:id="1"/>
    </w:p>
    <w:p w:rsidR="00705E8C" w:rsidRPr="006A74B0" w:rsidRDefault="00705E8C" w:rsidP="006A74B0">
      <w:pPr>
        <w:pStyle w:val="Heading2"/>
      </w:pPr>
      <w:bookmarkStart w:id="2" w:name="_Toc525895636"/>
      <w:r w:rsidRPr="006A74B0">
        <w:t>Programme goal</w:t>
      </w:r>
      <w:bookmarkEnd w:id="2"/>
    </w:p>
    <w:p w:rsidR="00705E8C" w:rsidRPr="00A74280" w:rsidRDefault="00705E8C" w:rsidP="00705E8C">
      <w:p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The goal of the Master of Public Health Monitoring and Evaluation programme is to contribute towards attainment of effective, efficient and sustainable monitoring and evaluation systems in health sectors in Ugand</w:t>
      </w:r>
      <w:r>
        <w:rPr>
          <w:rFonts w:ascii="Times New Roman" w:hAnsi="Times New Roman"/>
          <w:sz w:val="24"/>
          <w:szCs w:val="24"/>
        </w:rPr>
        <w:t xml:space="preserve">a and the Sub-Saharan Africa.  </w:t>
      </w:r>
    </w:p>
    <w:p w:rsidR="00705E8C" w:rsidRPr="00A74280" w:rsidRDefault="00705E8C" w:rsidP="006A74B0">
      <w:pPr>
        <w:pStyle w:val="Heading2"/>
      </w:pPr>
      <w:bookmarkStart w:id="3" w:name="_Toc525895637"/>
      <w:r w:rsidRPr="00A74280">
        <w:t>Programme objectives:</w:t>
      </w:r>
      <w:bookmarkEnd w:id="3"/>
    </w:p>
    <w:p w:rsidR="00705E8C" w:rsidRPr="00A74280" w:rsidRDefault="00705E8C" w:rsidP="00705E8C">
      <w:pPr>
        <w:pStyle w:val="ListParagraph"/>
        <w:numPr>
          <w:ilvl w:val="0"/>
          <w:numId w:val="1"/>
        </w:num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Improved access to advanced training in Public Health Monitoring and Evaluation locally, regionally and internationally</w:t>
      </w:r>
    </w:p>
    <w:p w:rsidR="00705E8C" w:rsidRPr="00A74280" w:rsidRDefault="00705E8C" w:rsidP="00705E8C">
      <w:pPr>
        <w:pStyle w:val="ListParagraph"/>
        <w:numPr>
          <w:ilvl w:val="0"/>
          <w:numId w:val="1"/>
        </w:num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 xml:space="preserve">Built critical mass of professionals with skills and competencies in public health monitoring and evaluation within Uganda and the Sub Saharan African region. </w:t>
      </w:r>
    </w:p>
    <w:p w:rsidR="00705E8C" w:rsidRPr="00A74280" w:rsidRDefault="00705E8C" w:rsidP="00705E8C">
      <w:pPr>
        <w:pStyle w:val="ListParagraph"/>
        <w:numPr>
          <w:ilvl w:val="0"/>
          <w:numId w:val="1"/>
        </w:num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Enhanced capacity for economic, impact and policy evaluations in order to improve effectiveness and efficiency of public health interventions.</w:t>
      </w:r>
    </w:p>
    <w:p w:rsidR="00705E8C" w:rsidRPr="00A74280" w:rsidRDefault="00705E8C" w:rsidP="00705E8C">
      <w:pPr>
        <w:pStyle w:val="ListParagraph"/>
        <w:numPr>
          <w:ilvl w:val="0"/>
          <w:numId w:val="1"/>
        </w:num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 xml:space="preserve">Strengthened strategic management and leadership skills fundamental to institutional success. </w:t>
      </w:r>
    </w:p>
    <w:p w:rsidR="00705E8C" w:rsidRPr="00A74280" w:rsidRDefault="00705E8C" w:rsidP="00705E8C">
      <w:pPr>
        <w:pStyle w:val="ListParagraph"/>
        <w:numPr>
          <w:ilvl w:val="0"/>
          <w:numId w:val="1"/>
        </w:num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Enhanced use of data for improved evidence informed decision making at all levels of the health system and institutions.</w:t>
      </w:r>
    </w:p>
    <w:p w:rsidR="00705E8C" w:rsidRPr="00A74280" w:rsidRDefault="00705E8C" w:rsidP="00705E8C">
      <w:pPr>
        <w:pStyle w:val="ListParagraph"/>
        <w:numPr>
          <w:ilvl w:val="0"/>
          <w:numId w:val="1"/>
        </w:numPr>
        <w:spacing w:before="120" w:after="120" w:line="240" w:lineRule="auto"/>
        <w:ind w:right="116"/>
        <w:jc w:val="both"/>
        <w:rPr>
          <w:rFonts w:ascii="Times New Roman" w:hAnsi="Times New Roman"/>
          <w:sz w:val="24"/>
          <w:szCs w:val="24"/>
        </w:rPr>
      </w:pPr>
      <w:r w:rsidRPr="00A74280">
        <w:rPr>
          <w:rFonts w:ascii="Times New Roman" w:hAnsi="Times New Roman"/>
          <w:sz w:val="24"/>
          <w:szCs w:val="24"/>
        </w:rPr>
        <w:t xml:space="preserve">To promote linkages between Makerere University, government ministries and other development institutions that seek to strengthen monitoring and evaluation systems locally, regionally and internationally  </w:t>
      </w:r>
    </w:p>
    <w:p w:rsidR="00705E8C" w:rsidRPr="00A74280" w:rsidRDefault="00705E8C" w:rsidP="006A74B0">
      <w:pPr>
        <w:pStyle w:val="Heading1"/>
      </w:pPr>
      <w:bookmarkStart w:id="4" w:name="_Toc525895638"/>
      <w:r w:rsidRPr="00A74280">
        <w:t>MPHME Programme Learning Outcomes:</w:t>
      </w:r>
      <w:bookmarkEnd w:id="4"/>
    </w:p>
    <w:p w:rsidR="00705E8C" w:rsidRPr="00A74280" w:rsidRDefault="00705E8C" w:rsidP="00705E8C">
      <w:pPr>
        <w:pStyle w:val="ListParagraph"/>
        <w:spacing w:before="120" w:after="120" w:line="240" w:lineRule="auto"/>
        <w:ind w:left="0" w:right="116"/>
        <w:jc w:val="both"/>
        <w:rPr>
          <w:rFonts w:ascii="Times New Roman" w:hAnsi="Times New Roman"/>
          <w:sz w:val="24"/>
          <w:szCs w:val="24"/>
        </w:rPr>
      </w:pPr>
      <w:r w:rsidRPr="00A74280">
        <w:rPr>
          <w:rFonts w:ascii="Times New Roman" w:hAnsi="Times New Roman"/>
          <w:sz w:val="24"/>
          <w:szCs w:val="24"/>
        </w:rPr>
        <w:t>By the end of this programme, students should be able to:</w:t>
      </w:r>
    </w:p>
    <w:p w:rsidR="00705E8C" w:rsidRPr="006A74B0" w:rsidRDefault="00705E8C" w:rsidP="006A74B0">
      <w:pPr>
        <w:pStyle w:val="ListParagraph"/>
        <w:numPr>
          <w:ilvl w:val="0"/>
          <w:numId w:val="5"/>
        </w:numPr>
        <w:spacing w:before="120" w:after="120" w:line="240" w:lineRule="auto"/>
        <w:rPr>
          <w:rFonts w:ascii="Times New Roman" w:hAnsi="Times New Roman"/>
          <w:sz w:val="24"/>
          <w:szCs w:val="24"/>
        </w:rPr>
      </w:pPr>
      <w:r w:rsidRPr="006A74B0">
        <w:rPr>
          <w:rFonts w:ascii="Times New Roman" w:hAnsi="Times New Roman"/>
          <w:sz w:val="24"/>
          <w:szCs w:val="24"/>
        </w:rPr>
        <w:t>Apply the theoretical and conceptual understanding of the use of monitoring and evaluation in public health decision making</w:t>
      </w:r>
      <w:r w:rsidR="006A74B0" w:rsidRPr="006A74B0">
        <w:rPr>
          <w:rFonts w:ascii="Times New Roman" w:hAnsi="Times New Roman"/>
          <w:sz w:val="24"/>
          <w:szCs w:val="24"/>
        </w:rPr>
        <w:t>.</w:t>
      </w:r>
    </w:p>
    <w:p w:rsidR="00705E8C" w:rsidRPr="006A74B0" w:rsidRDefault="00705E8C" w:rsidP="006A74B0">
      <w:pPr>
        <w:pStyle w:val="ListParagraph"/>
        <w:numPr>
          <w:ilvl w:val="0"/>
          <w:numId w:val="5"/>
        </w:numPr>
        <w:spacing w:before="120" w:after="120" w:line="240" w:lineRule="auto"/>
        <w:rPr>
          <w:rFonts w:ascii="Times New Roman" w:hAnsi="Times New Roman"/>
          <w:sz w:val="24"/>
          <w:szCs w:val="24"/>
        </w:rPr>
      </w:pPr>
      <w:r w:rsidRPr="006A74B0">
        <w:rPr>
          <w:rFonts w:ascii="Times New Roman" w:hAnsi="Times New Roman"/>
          <w:sz w:val="24"/>
          <w:szCs w:val="24"/>
        </w:rPr>
        <w:t>Apply the use of evidence in program design and management in a given context</w:t>
      </w:r>
    </w:p>
    <w:p w:rsidR="00705E8C" w:rsidRPr="006A74B0" w:rsidRDefault="00705E8C" w:rsidP="006A74B0">
      <w:pPr>
        <w:pStyle w:val="ListParagraph"/>
        <w:numPr>
          <w:ilvl w:val="0"/>
          <w:numId w:val="5"/>
        </w:numPr>
        <w:spacing w:before="120" w:after="120" w:line="240" w:lineRule="auto"/>
        <w:rPr>
          <w:rFonts w:ascii="Times New Roman" w:hAnsi="Times New Roman"/>
          <w:sz w:val="24"/>
          <w:szCs w:val="24"/>
        </w:rPr>
      </w:pPr>
      <w:r w:rsidRPr="006A74B0">
        <w:rPr>
          <w:rFonts w:ascii="Times New Roman" w:hAnsi="Times New Roman"/>
          <w:sz w:val="24"/>
          <w:szCs w:val="24"/>
        </w:rPr>
        <w:t>Design and implement a monitoring and evaluation system for a public health program</w:t>
      </w:r>
    </w:p>
    <w:p w:rsidR="00705E8C" w:rsidRPr="006A74B0" w:rsidRDefault="00705E8C" w:rsidP="006A74B0">
      <w:pPr>
        <w:pStyle w:val="ListParagraph"/>
        <w:numPr>
          <w:ilvl w:val="0"/>
          <w:numId w:val="5"/>
        </w:numPr>
        <w:spacing w:before="120" w:after="120" w:line="240" w:lineRule="auto"/>
        <w:rPr>
          <w:rFonts w:ascii="Times New Roman" w:hAnsi="Times New Roman"/>
          <w:sz w:val="24"/>
          <w:szCs w:val="24"/>
        </w:rPr>
      </w:pPr>
      <w:r w:rsidRPr="006A74B0">
        <w:rPr>
          <w:rFonts w:ascii="Times New Roman" w:hAnsi="Times New Roman"/>
          <w:sz w:val="24"/>
          <w:szCs w:val="24"/>
        </w:rPr>
        <w:lastRenderedPageBreak/>
        <w:t>Plan, manage and conduct public health program and policy evaluations</w:t>
      </w:r>
    </w:p>
    <w:p w:rsidR="00705E8C" w:rsidRPr="006A74B0" w:rsidRDefault="00705E8C" w:rsidP="006A74B0">
      <w:pPr>
        <w:pStyle w:val="ListParagraph"/>
        <w:numPr>
          <w:ilvl w:val="0"/>
          <w:numId w:val="5"/>
        </w:numPr>
        <w:spacing w:before="120" w:after="120" w:line="240" w:lineRule="auto"/>
        <w:rPr>
          <w:rFonts w:ascii="Times New Roman" w:hAnsi="Times New Roman"/>
          <w:sz w:val="24"/>
          <w:szCs w:val="24"/>
        </w:rPr>
      </w:pPr>
      <w:r w:rsidRPr="006A74B0">
        <w:rPr>
          <w:rFonts w:ascii="Times New Roman" w:hAnsi="Times New Roman"/>
          <w:sz w:val="24"/>
          <w:szCs w:val="24"/>
        </w:rPr>
        <w:t>Critically evaluate monitoring and evaluation literature and use findings to make relevant recommendations for public health programs and policies</w:t>
      </w:r>
    </w:p>
    <w:p w:rsidR="00705E8C" w:rsidRPr="006A74B0" w:rsidRDefault="00705E8C" w:rsidP="006A74B0">
      <w:pPr>
        <w:pStyle w:val="ListParagraph"/>
        <w:numPr>
          <w:ilvl w:val="0"/>
          <w:numId w:val="5"/>
        </w:numPr>
        <w:spacing w:before="120" w:after="120" w:line="240" w:lineRule="auto"/>
        <w:jc w:val="both"/>
        <w:rPr>
          <w:rFonts w:ascii="Times New Roman" w:hAnsi="Times New Roman"/>
          <w:color w:val="000000"/>
          <w:sz w:val="24"/>
          <w:szCs w:val="24"/>
        </w:rPr>
      </w:pPr>
      <w:r w:rsidRPr="006A74B0">
        <w:rPr>
          <w:rFonts w:ascii="Times New Roman" w:hAnsi="Times New Roman"/>
          <w:color w:val="000000"/>
          <w:sz w:val="24"/>
          <w:szCs w:val="24"/>
        </w:rPr>
        <w:t>Demonstrate professional and ethical conduct in his/her public health practice.</w:t>
      </w:r>
    </w:p>
    <w:p w:rsidR="00705E8C" w:rsidRPr="00A74280" w:rsidRDefault="00705E8C" w:rsidP="006A74B0">
      <w:pPr>
        <w:pStyle w:val="Heading1"/>
      </w:pPr>
      <w:r w:rsidRPr="00A74280">
        <w:t>Admission and eligibility requirements:</w:t>
      </w:r>
    </w:p>
    <w:p w:rsidR="00705E8C" w:rsidRPr="00A74280" w:rsidRDefault="00705E8C" w:rsidP="00705E8C">
      <w:pPr>
        <w:spacing w:before="120" w:after="120" w:line="240" w:lineRule="auto"/>
        <w:ind w:right="-44"/>
        <w:jc w:val="both"/>
        <w:rPr>
          <w:rFonts w:ascii="Times New Roman" w:hAnsi="Times New Roman"/>
          <w:sz w:val="24"/>
          <w:szCs w:val="24"/>
        </w:rPr>
      </w:pPr>
      <w:r w:rsidRPr="00A74280">
        <w:rPr>
          <w:rFonts w:ascii="Times New Roman" w:hAnsi="Times New Roman"/>
          <w:sz w:val="24"/>
          <w:szCs w:val="24"/>
        </w:rPr>
        <w:t>The program is open to Ugandans and Non-Ugandans who fulfil the admission requirements. The following requirements are just the minimum for admission and only make a candidate eligible for consideration.</w:t>
      </w:r>
    </w:p>
    <w:p w:rsidR="00705E8C" w:rsidRPr="006A74B0" w:rsidRDefault="00705E8C" w:rsidP="006A74B0">
      <w:pPr>
        <w:pStyle w:val="ListParagraph"/>
        <w:numPr>
          <w:ilvl w:val="0"/>
          <w:numId w:val="6"/>
        </w:numPr>
        <w:spacing w:before="120" w:after="120" w:line="240" w:lineRule="auto"/>
        <w:ind w:right="66"/>
        <w:jc w:val="both"/>
        <w:rPr>
          <w:rFonts w:ascii="Times New Roman" w:hAnsi="Times New Roman"/>
          <w:sz w:val="24"/>
          <w:szCs w:val="24"/>
        </w:rPr>
      </w:pPr>
      <w:r w:rsidRPr="006A74B0">
        <w:rPr>
          <w:rFonts w:ascii="Times New Roman" w:hAnsi="Times New Roman"/>
          <w:sz w:val="24"/>
          <w:szCs w:val="24"/>
        </w:rPr>
        <w:t>A bachelor degree in applied health sciences e.g. environmental health, medicine (human and veterinary), Pharmacy and Nursing from a recognised institution with at least one year of working in a health service related organization.</w:t>
      </w:r>
    </w:p>
    <w:p w:rsidR="00705E8C" w:rsidRPr="006A74B0" w:rsidRDefault="00705E8C" w:rsidP="006A74B0">
      <w:pPr>
        <w:pStyle w:val="ListParagraph"/>
        <w:numPr>
          <w:ilvl w:val="0"/>
          <w:numId w:val="6"/>
        </w:numPr>
        <w:spacing w:before="120" w:after="120" w:line="240" w:lineRule="auto"/>
        <w:ind w:right="66"/>
        <w:jc w:val="both"/>
        <w:rPr>
          <w:rFonts w:ascii="Times New Roman" w:hAnsi="Times New Roman"/>
          <w:sz w:val="24"/>
          <w:szCs w:val="24"/>
        </w:rPr>
      </w:pPr>
      <w:r w:rsidRPr="006A74B0">
        <w:rPr>
          <w:rFonts w:ascii="Times New Roman" w:hAnsi="Times New Roman"/>
          <w:sz w:val="24"/>
          <w:szCs w:val="24"/>
        </w:rPr>
        <w:t>A bachelor degree in social sciences such as social work, sociology, economics, statistics, developmental studies, demography&amp; population studies from a recognised institution. Experience working on M&amp;E related assignments will be an added advantage.</w:t>
      </w:r>
    </w:p>
    <w:p w:rsidR="00705E8C" w:rsidRPr="006A74B0" w:rsidRDefault="00705E8C" w:rsidP="006A74B0">
      <w:pPr>
        <w:pStyle w:val="ListParagraph"/>
        <w:numPr>
          <w:ilvl w:val="0"/>
          <w:numId w:val="6"/>
        </w:numPr>
        <w:spacing w:before="120" w:after="120" w:line="240" w:lineRule="auto"/>
        <w:ind w:right="66"/>
        <w:jc w:val="both"/>
        <w:rPr>
          <w:rFonts w:ascii="Times New Roman" w:hAnsi="Times New Roman"/>
          <w:sz w:val="24"/>
          <w:szCs w:val="24"/>
        </w:rPr>
      </w:pPr>
      <w:r w:rsidRPr="006A74B0">
        <w:rPr>
          <w:rFonts w:ascii="Times New Roman" w:hAnsi="Times New Roman"/>
          <w:sz w:val="24"/>
          <w:szCs w:val="24"/>
        </w:rPr>
        <w:t>A bachelor degree in management sciences, such as Business Administration, information technology from a recognised institution. Experience working on M&amp;E related assignments will be an added advantage.</w:t>
      </w:r>
    </w:p>
    <w:p w:rsidR="00705E8C" w:rsidRPr="006A74B0" w:rsidRDefault="00705E8C" w:rsidP="006A74B0">
      <w:pPr>
        <w:pStyle w:val="ListParagraph"/>
        <w:numPr>
          <w:ilvl w:val="0"/>
          <w:numId w:val="6"/>
        </w:numPr>
        <w:spacing w:before="120" w:after="120" w:line="240" w:lineRule="auto"/>
        <w:ind w:right="66"/>
        <w:jc w:val="both"/>
        <w:rPr>
          <w:rFonts w:ascii="Times New Roman" w:hAnsi="Times New Roman"/>
          <w:sz w:val="24"/>
          <w:szCs w:val="24"/>
        </w:rPr>
      </w:pPr>
      <w:r w:rsidRPr="006A74B0">
        <w:rPr>
          <w:rFonts w:ascii="Times New Roman" w:hAnsi="Times New Roman"/>
          <w:sz w:val="24"/>
          <w:szCs w:val="24"/>
        </w:rPr>
        <w:t xml:space="preserve">For classified degrees, applicants must possess a minimum of honours degree or its equivalent. </w:t>
      </w:r>
    </w:p>
    <w:p w:rsidR="00705E8C" w:rsidRPr="006A74B0" w:rsidRDefault="00705E8C" w:rsidP="006A74B0">
      <w:pPr>
        <w:pStyle w:val="ListParagraph"/>
        <w:numPr>
          <w:ilvl w:val="0"/>
          <w:numId w:val="6"/>
        </w:numPr>
        <w:spacing w:before="120" w:after="120" w:line="240" w:lineRule="auto"/>
        <w:ind w:right="66"/>
        <w:jc w:val="both"/>
        <w:rPr>
          <w:rFonts w:ascii="Times New Roman" w:hAnsi="Times New Roman"/>
          <w:sz w:val="24"/>
          <w:szCs w:val="24"/>
        </w:rPr>
      </w:pPr>
      <w:r w:rsidRPr="006A74B0">
        <w:rPr>
          <w:rFonts w:ascii="Times New Roman" w:hAnsi="Times New Roman"/>
          <w:sz w:val="24"/>
          <w:szCs w:val="24"/>
        </w:rPr>
        <w:t>Shortlisted applicants will be subjected to an entry interview for admission into the programme.</w:t>
      </w:r>
    </w:p>
    <w:p w:rsidR="00705E8C" w:rsidRPr="00A74280" w:rsidRDefault="006A74B0" w:rsidP="00705E8C">
      <w:pPr>
        <w:pStyle w:val="Heading1"/>
      </w:pPr>
      <w:r>
        <w:t>Nature of t</w:t>
      </w:r>
      <w:r w:rsidRPr="00A74280">
        <w:t>he MPHME Programme</w:t>
      </w:r>
    </w:p>
    <w:p w:rsidR="00705E8C" w:rsidRPr="00A74280" w:rsidRDefault="00705E8C" w:rsidP="006A74B0">
      <w:pPr>
        <w:pStyle w:val="Heading2"/>
      </w:pPr>
      <w:bookmarkStart w:id="5" w:name="_Toc525895648"/>
      <w:r w:rsidRPr="00A74280">
        <w:t>Duration</w:t>
      </w:r>
      <w:bookmarkEnd w:id="5"/>
    </w:p>
    <w:p w:rsidR="00705E8C" w:rsidRPr="00A74280" w:rsidRDefault="00705E8C" w:rsidP="00705E8C">
      <w:pPr>
        <w:spacing w:before="120" w:after="120" w:line="240" w:lineRule="auto"/>
        <w:jc w:val="both"/>
        <w:rPr>
          <w:rFonts w:ascii="Times New Roman" w:hAnsi="Times New Roman"/>
          <w:sz w:val="24"/>
          <w:szCs w:val="24"/>
        </w:rPr>
      </w:pPr>
      <w:r w:rsidRPr="00A74280">
        <w:rPr>
          <w:rFonts w:ascii="Times New Roman" w:hAnsi="Times New Roman"/>
          <w:sz w:val="24"/>
          <w:szCs w:val="24"/>
        </w:rPr>
        <w:t xml:space="preserve">The programme is structured for 2 calendar years divided into four semesters and one recess term. It will use an innovative integrated curriculum that combines class-based coursework and field placements including a compulsory completion of a masters level thesis by individual students. </w:t>
      </w:r>
    </w:p>
    <w:p w:rsidR="00705E8C" w:rsidRPr="00A74280" w:rsidRDefault="00705E8C" w:rsidP="006A74B0">
      <w:pPr>
        <w:pStyle w:val="Heading2"/>
      </w:pPr>
      <w:bookmarkStart w:id="6" w:name="_Toc525895649"/>
      <w:r w:rsidRPr="00A74280">
        <w:t>Semester Arrangements</w:t>
      </w:r>
      <w:bookmarkEnd w:id="6"/>
    </w:p>
    <w:p w:rsidR="00705E8C" w:rsidRPr="00A74280" w:rsidRDefault="00705E8C" w:rsidP="00705E8C">
      <w:pPr>
        <w:spacing w:before="120" w:after="120" w:line="240" w:lineRule="auto"/>
        <w:ind w:right="66"/>
        <w:jc w:val="both"/>
        <w:rPr>
          <w:rFonts w:ascii="Times New Roman" w:hAnsi="Times New Roman"/>
          <w:sz w:val="24"/>
          <w:szCs w:val="24"/>
        </w:rPr>
      </w:pPr>
      <w:r w:rsidRPr="00A74280">
        <w:rPr>
          <w:rFonts w:ascii="Times New Roman" w:hAnsi="Times New Roman"/>
          <w:sz w:val="24"/>
          <w:szCs w:val="24"/>
        </w:rPr>
        <w:t>All courses will be on semester system. The MPHME programme is 78 weeks (22 months) and consists of four semesters and one recess term.  Each semester is 17 weeks and the recess term is 10 weeks.</w:t>
      </w:r>
    </w:p>
    <w:p w:rsidR="00705E8C" w:rsidRPr="00A74280" w:rsidRDefault="00705E8C" w:rsidP="006A74B0">
      <w:pPr>
        <w:pStyle w:val="Heading1"/>
      </w:pPr>
      <w:bookmarkStart w:id="7" w:name="_Toc525895650"/>
      <w:r w:rsidRPr="00A74280">
        <w:t>Structure of the Programme</w:t>
      </w:r>
      <w:bookmarkEnd w:id="7"/>
    </w:p>
    <w:p w:rsidR="00705E8C" w:rsidRPr="00A74280" w:rsidRDefault="00705E8C" w:rsidP="006A74B0">
      <w:pPr>
        <w:pStyle w:val="Heading2"/>
      </w:pPr>
      <w:bookmarkStart w:id="8" w:name="_Toc525895651"/>
      <w:r w:rsidRPr="00A74280">
        <w:t>The academic component</w:t>
      </w:r>
      <w:bookmarkEnd w:id="8"/>
    </w:p>
    <w:p w:rsidR="00705E8C" w:rsidRPr="00A74280" w:rsidRDefault="00705E8C" w:rsidP="00705E8C">
      <w:pPr>
        <w:spacing w:before="120" w:after="120" w:line="240" w:lineRule="auto"/>
        <w:ind w:right="66"/>
        <w:jc w:val="both"/>
        <w:rPr>
          <w:rFonts w:ascii="Times New Roman" w:hAnsi="Times New Roman"/>
          <w:sz w:val="24"/>
          <w:szCs w:val="24"/>
        </w:rPr>
      </w:pPr>
      <w:r w:rsidRPr="00A74280">
        <w:rPr>
          <w:rFonts w:ascii="Times New Roman" w:hAnsi="Times New Roman"/>
          <w:sz w:val="24"/>
          <w:szCs w:val="24"/>
        </w:rPr>
        <w:t>This includes teaching and learning at the School of Public Health. Different</w:t>
      </w:r>
      <w:bookmarkStart w:id="9" w:name="_Toc179015839"/>
      <w:bookmarkStart w:id="10" w:name="_Toc179018139"/>
      <w:r w:rsidRPr="00A74280">
        <w:rPr>
          <w:rFonts w:ascii="Times New Roman" w:hAnsi="Times New Roman"/>
          <w:sz w:val="24"/>
          <w:szCs w:val="24"/>
        </w:rPr>
        <w:t xml:space="preserve"> instructional and facilitation approaches will be applied in the teaching of the academic courses under this component, namely Problem based learning (PBL) as the major method of instruction and learning. It is student-centred with tutor guidance. Other learning approaches will include discussion tutorials, seminars, group assignments, case studies, practical/hands-on exercises and independent study.</w:t>
      </w:r>
      <w:bookmarkEnd w:id="9"/>
      <w:bookmarkEnd w:id="10"/>
    </w:p>
    <w:p w:rsidR="00705E8C" w:rsidRPr="00A74280" w:rsidRDefault="00705E8C" w:rsidP="0092375E">
      <w:pPr>
        <w:pStyle w:val="Heading2"/>
      </w:pPr>
      <w:bookmarkStart w:id="11" w:name="_Toc525895652"/>
      <w:r w:rsidRPr="00A74280">
        <w:lastRenderedPageBreak/>
        <w:t>M&amp;E Practicum</w:t>
      </w:r>
      <w:bookmarkEnd w:id="11"/>
      <w:r w:rsidRPr="00A74280">
        <w:t xml:space="preserve"> </w:t>
      </w:r>
    </w:p>
    <w:p w:rsidR="00705E8C" w:rsidRDefault="00705E8C" w:rsidP="00705E8C">
      <w:pPr>
        <w:spacing w:before="120" w:after="120" w:line="240" w:lineRule="auto"/>
        <w:ind w:right="66"/>
        <w:jc w:val="both"/>
        <w:rPr>
          <w:rFonts w:ascii="Times New Roman" w:hAnsi="Times New Roman"/>
          <w:sz w:val="24"/>
          <w:szCs w:val="24"/>
        </w:rPr>
      </w:pPr>
      <w:r w:rsidRPr="00A74280">
        <w:rPr>
          <w:rFonts w:ascii="Times New Roman" w:hAnsi="Times New Roman"/>
          <w:sz w:val="24"/>
          <w:szCs w:val="24"/>
        </w:rPr>
        <w:t xml:space="preserve">The programme will also be implemented through attachments to health organizations with functional M&amp;E systems. This will account for ten weeks for practical skills in M&amp;E systems design, implementation and management. Practicum attachments will be in the recess term of year 1. </w:t>
      </w:r>
    </w:p>
    <w:p w:rsidR="0092375E" w:rsidRPr="0092375E" w:rsidRDefault="0092375E" w:rsidP="0092375E">
      <w:pPr>
        <w:pStyle w:val="Heading2"/>
        <w:rPr>
          <w:lang w:val="en-US"/>
        </w:rPr>
      </w:pPr>
      <w:r>
        <w:t>Course</w:t>
      </w:r>
      <w:r>
        <w:rPr>
          <w:lang w:val="en-US"/>
        </w:rPr>
        <w:t>s</w:t>
      </w:r>
    </w:p>
    <w:p w:rsidR="00705E8C" w:rsidRPr="00A74280" w:rsidRDefault="00705E8C" w:rsidP="00705E8C">
      <w:pPr>
        <w:spacing w:before="120" w:after="120" w:line="240" w:lineRule="auto"/>
        <w:ind w:right="66"/>
        <w:jc w:val="both"/>
        <w:rPr>
          <w:rFonts w:ascii="Times New Roman" w:hAnsi="Times New Roman"/>
          <w:sz w:val="24"/>
          <w:szCs w:val="24"/>
        </w:rPr>
      </w:pPr>
      <w:r w:rsidRPr="00A74280">
        <w:rPr>
          <w:rFonts w:ascii="Times New Roman" w:hAnsi="Times New Roman"/>
          <w:sz w:val="24"/>
          <w:szCs w:val="24"/>
        </w:rPr>
        <w:t>The MPHME program will have both core and elective courses which must be passed independently by a stude</w:t>
      </w:r>
      <w:r>
        <w:rPr>
          <w:rFonts w:ascii="Times New Roman" w:hAnsi="Times New Roman"/>
          <w:sz w:val="24"/>
          <w:szCs w:val="24"/>
        </w:rPr>
        <w:t>nt in order to obtain a degree.</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4389"/>
        <w:gridCol w:w="1649"/>
      </w:tblGrid>
      <w:tr w:rsidR="0092375E" w:rsidRPr="00705E8C" w:rsidTr="0092375E">
        <w:trPr>
          <w:jc w:val="center"/>
        </w:trPr>
        <w:tc>
          <w:tcPr>
            <w:tcW w:w="1697" w:type="dxa"/>
            <w:shd w:val="clear" w:color="auto" w:fill="auto"/>
          </w:tcPr>
          <w:p w:rsidR="0092375E" w:rsidRPr="00705E8C" w:rsidRDefault="0092375E" w:rsidP="00705E8C">
            <w:pPr>
              <w:spacing w:after="0" w:line="240" w:lineRule="auto"/>
              <w:ind w:right="66"/>
              <w:jc w:val="center"/>
              <w:rPr>
                <w:rFonts w:ascii="Times New Roman" w:eastAsia="Times New Roman" w:hAnsi="Times New Roman"/>
                <w:b/>
              </w:rPr>
            </w:pPr>
            <w:r w:rsidRPr="00705E8C">
              <w:rPr>
                <w:rFonts w:ascii="Times New Roman" w:eastAsia="Times New Roman" w:hAnsi="Times New Roman"/>
                <w:b/>
              </w:rPr>
              <w:t>CODE</w:t>
            </w:r>
          </w:p>
        </w:tc>
        <w:tc>
          <w:tcPr>
            <w:tcW w:w="4389" w:type="dxa"/>
            <w:shd w:val="clear" w:color="auto" w:fill="auto"/>
          </w:tcPr>
          <w:p w:rsidR="0092375E" w:rsidRPr="00705E8C" w:rsidRDefault="0092375E" w:rsidP="00705E8C">
            <w:pPr>
              <w:spacing w:after="0" w:line="240" w:lineRule="auto"/>
              <w:ind w:right="66"/>
              <w:jc w:val="center"/>
              <w:rPr>
                <w:rFonts w:ascii="Times New Roman" w:eastAsia="Times New Roman" w:hAnsi="Times New Roman"/>
                <w:b/>
              </w:rPr>
            </w:pPr>
            <w:r w:rsidRPr="00705E8C">
              <w:rPr>
                <w:rFonts w:ascii="Times New Roman" w:eastAsia="Times New Roman" w:hAnsi="Times New Roman"/>
                <w:b/>
              </w:rPr>
              <w:t>COURSE</w:t>
            </w:r>
          </w:p>
        </w:tc>
        <w:tc>
          <w:tcPr>
            <w:tcW w:w="1649" w:type="dxa"/>
            <w:shd w:val="clear" w:color="auto" w:fill="auto"/>
          </w:tcPr>
          <w:p w:rsidR="0092375E" w:rsidRPr="00705E8C" w:rsidRDefault="0092375E" w:rsidP="00705E8C">
            <w:pPr>
              <w:spacing w:after="0" w:line="240" w:lineRule="auto"/>
              <w:ind w:right="66"/>
              <w:jc w:val="center"/>
              <w:rPr>
                <w:rFonts w:ascii="Times New Roman" w:eastAsia="Times New Roman" w:hAnsi="Times New Roman"/>
                <w:b/>
              </w:rPr>
            </w:pPr>
            <w:r w:rsidRPr="00705E8C">
              <w:rPr>
                <w:rFonts w:ascii="Times New Roman" w:eastAsia="Times New Roman" w:hAnsi="Times New Roman"/>
                <w:b/>
              </w:rPr>
              <w:t>C</w:t>
            </w:r>
            <w:r>
              <w:rPr>
                <w:rFonts w:ascii="Times New Roman" w:eastAsia="Times New Roman" w:hAnsi="Times New Roman"/>
                <w:b/>
              </w:rPr>
              <w:t xml:space="preserve">redit </w:t>
            </w:r>
            <w:r w:rsidRPr="00705E8C">
              <w:rPr>
                <w:rFonts w:ascii="Times New Roman" w:eastAsia="Times New Roman" w:hAnsi="Times New Roman"/>
                <w:b/>
              </w:rPr>
              <w:t>U</w:t>
            </w:r>
            <w:r>
              <w:rPr>
                <w:rFonts w:ascii="Times New Roman" w:eastAsia="Times New Roman" w:hAnsi="Times New Roman"/>
                <w:b/>
              </w:rPr>
              <w:t>nits</w:t>
            </w:r>
          </w:p>
        </w:tc>
      </w:tr>
      <w:tr w:rsidR="0092375E" w:rsidRPr="00705E8C" w:rsidTr="00DD1303">
        <w:trPr>
          <w:jc w:val="center"/>
        </w:trPr>
        <w:tc>
          <w:tcPr>
            <w:tcW w:w="7735" w:type="dxa"/>
            <w:gridSpan w:val="3"/>
            <w:shd w:val="clear" w:color="auto" w:fill="auto"/>
          </w:tcPr>
          <w:p w:rsidR="0092375E" w:rsidRPr="00705E8C" w:rsidRDefault="0092375E" w:rsidP="0092375E">
            <w:pPr>
              <w:spacing w:after="0" w:line="240" w:lineRule="auto"/>
              <w:ind w:right="66"/>
              <w:jc w:val="center"/>
              <w:rPr>
                <w:rFonts w:ascii="Times New Roman" w:eastAsia="Times New Roman" w:hAnsi="Times New Roman"/>
                <w:b/>
              </w:rPr>
            </w:pPr>
            <w:r w:rsidRPr="00705E8C">
              <w:rPr>
                <w:rFonts w:ascii="Times New Roman" w:eastAsia="Times New Roman" w:hAnsi="Times New Roman"/>
                <w:b/>
                <w:lang w:val="en-US"/>
              </w:rPr>
              <w:t>MPHME Year I: Semester I</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7101</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M&amp;E concepts and theories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7102</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Program design and management</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7103</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Monitoring: Principles, Methods and Approaches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4</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7104</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rPr>
            </w:pPr>
            <w:r w:rsidRPr="00705E8C">
              <w:rPr>
                <w:rFonts w:ascii="Times New Roman" w:eastAsia="Times New Roman" w:hAnsi="Times New Roman"/>
              </w:rPr>
              <w:t>Statistical Methods I</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7105</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Program Evaluations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b/>
                <w:lang w:val="en-US"/>
              </w:rPr>
            </w:pPr>
            <w:r w:rsidRPr="00705E8C">
              <w:rPr>
                <w:rFonts w:ascii="Times New Roman" w:eastAsia="Times New Roman" w:hAnsi="Times New Roman"/>
                <w:b/>
                <w:lang w:val="en-US"/>
              </w:rPr>
              <w:t>Total</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b/>
                <w:lang w:val="en-US"/>
              </w:rPr>
            </w:pP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b/>
                <w:sz w:val="24"/>
                <w:szCs w:val="24"/>
                <w:lang w:val="en-US"/>
              </w:rPr>
            </w:pPr>
            <w:r w:rsidRPr="00705E8C">
              <w:rPr>
                <w:rFonts w:ascii="Times New Roman" w:eastAsia="Times New Roman" w:hAnsi="Times New Roman"/>
                <w:b/>
                <w:sz w:val="24"/>
                <w:szCs w:val="24"/>
                <w:lang w:val="en-US"/>
              </w:rPr>
              <w:t>16</w:t>
            </w:r>
          </w:p>
        </w:tc>
      </w:tr>
      <w:tr w:rsidR="0092375E" w:rsidRPr="00705E8C" w:rsidTr="0077049F">
        <w:trPr>
          <w:jc w:val="center"/>
        </w:trPr>
        <w:tc>
          <w:tcPr>
            <w:tcW w:w="7735" w:type="dxa"/>
            <w:gridSpan w:val="3"/>
            <w:shd w:val="clear" w:color="auto" w:fill="auto"/>
          </w:tcPr>
          <w:p w:rsidR="0092375E" w:rsidRPr="00705E8C" w:rsidRDefault="0092375E" w:rsidP="0092375E">
            <w:pPr>
              <w:spacing w:after="0" w:line="240" w:lineRule="auto"/>
              <w:ind w:right="66"/>
              <w:jc w:val="center"/>
              <w:rPr>
                <w:rFonts w:ascii="Times New Roman" w:eastAsia="Times New Roman" w:hAnsi="Times New Roman"/>
                <w:b/>
              </w:rPr>
            </w:pPr>
            <w:r w:rsidRPr="00705E8C">
              <w:rPr>
                <w:rFonts w:ascii="Times New Roman" w:eastAsia="Times New Roman" w:hAnsi="Times New Roman"/>
                <w:b/>
                <w:lang w:val="en-US"/>
              </w:rPr>
              <w:t>MPHME Year I: Semester II</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7201</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Monitoring and Evaluation Systems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7202</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 xml:space="preserve">Quantitative methods and tools in M&amp;E </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lang w:val="en-US"/>
              </w:rPr>
            </w:pPr>
            <w:r w:rsidRPr="00705E8C">
              <w:rPr>
                <w:rFonts w:ascii="Times New Roman" w:eastAsia="Times New Roman" w:hAnsi="Times New Roman"/>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7203</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 xml:space="preserve">Qualitative methods and tools in M&amp;E </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lang w:val="en-US"/>
              </w:rPr>
            </w:pPr>
            <w:r w:rsidRPr="00705E8C">
              <w:rPr>
                <w:rFonts w:ascii="Times New Roman" w:eastAsia="Times New Roman" w:hAnsi="Times New Roman"/>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7204</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Applied Statistical Methods II</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lang w:val="en-US"/>
              </w:rPr>
            </w:pPr>
            <w:r w:rsidRPr="00705E8C">
              <w:rPr>
                <w:rFonts w:ascii="Times New Roman" w:eastAsia="Times New Roman" w:hAnsi="Times New Roman"/>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en-US"/>
              </w:rPr>
              <w:t>MPHME 7205</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lang w:val="en-US"/>
              </w:rPr>
            </w:pPr>
            <w:r w:rsidRPr="00705E8C">
              <w:rPr>
                <w:rFonts w:ascii="Times New Roman" w:eastAsia="Times New Roman" w:hAnsi="Times New Roman"/>
                <w:lang w:val="fr-FR"/>
              </w:rPr>
              <w:t>Applied Management Information Systems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lang w:val="en-US"/>
              </w:rPr>
            </w:pPr>
            <w:r w:rsidRPr="00705E8C">
              <w:rPr>
                <w:rFonts w:ascii="Times New Roman" w:eastAsia="Times New Roman" w:hAnsi="Times New Roman"/>
                <w:lang w:val="en-US"/>
              </w:rPr>
              <w:t>2</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rPr>
                <w:rFonts w:ascii="Times New Roman" w:eastAsia="Times New Roman" w:hAnsi="Times New Roman"/>
                <w:b/>
                <w:lang w:val="en-US"/>
              </w:rPr>
            </w:pPr>
            <w:r w:rsidRPr="00705E8C">
              <w:rPr>
                <w:rFonts w:ascii="Times New Roman" w:eastAsia="Times New Roman" w:hAnsi="Times New Roman"/>
                <w:b/>
                <w:lang w:val="en-US"/>
              </w:rPr>
              <w:t>Total</w:t>
            </w:r>
          </w:p>
        </w:tc>
        <w:tc>
          <w:tcPr>
            <w:tcW w:w="4389" w:type="dxa"/>
            <w:shd w:val="clear" w:color="auto" w:fill="auto"/>
          </w:tcPr>
          <w:p w:rsidR="0092375E" w:rsidRPr="00705E8C" w:rsidRDefault="0092375E" w:rsidP="00705E8C">
            <w:pPr>
              <w:spacing w:after="0" w:line="240" w:lineRule="auto"/>
              <w:rPr>
                <w:rFonts w:ascii="Times New Roman" w:eastAsia="Times New Roman" w:hAnsi="Times New Roman"/>
                <w:b/>
                <w:lang w:val="fr-FR"/>
              </w:rPr>
            </w:pP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b/>
                <w:lang w:val="en-US"/>
              </w:rPr>
            </w:pPr>
            <w:r w:rsidRPr="00705E8C">
              <w:rPr>
                <w:rFonts w:ascii="Times New Roman" w:eastAsia="Times New Roman" w:hAnsi="Times New Roman"/>
                <w:b/>
                <w:lang w:val="en-US"/>
              </w:rPr>
              <w:t>14</w:t>
            </w:r>
          </w:p>
        </w:tc>
      </w:tr>
      <w:tr w:rsidR="0092375E" w:rsidRPr="00705E8C" w:rsidTr="002E43F8">
        <w:trPr>
          <w:jc w:val="center"/>
        </w:trPr>
        <w:tc>
          <w:tcPr>
            <w:tcW w:w="7735" w:type="dxa"/>
            <w:gridSpan w:val="3"/>
            <w:shd w:val="clear" w:color="auto" w:fill="auto"/>
          </w:tcPr>
          <w:p w:rsidR="0092375E" w:rsidRPr="00705E8C" w:rsidRDefault="0092375E" w:rsidP="0092375E">
            <w:pPr>
              <w:spacing w:after="0" w:line="240" w:lineRule="auto"/>
              <w:ind w:right="66"/>
              <w:jc w:val="center"/>
              <w:rPr>
                <w:rFonts w:ascii="Times New Roman" w:eastAsia="Times New Roman" w:hAnsi="Times New Roman"/>
                <w:b/>
              </w:rPr>
            </w:pPr>
            <w:r w:rsidRPr="00705E8C">
              <w:rPr>
                <w:rFonts w:ascii="Times New Roman" w:eastAsia="Times New Roman" w:hAnsi="Times New Roman"/>
                <w:b/>
              </w:rPr>
              <w:t>MPHME Year 1: Recess Term</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ind w:right="66"/>
              <w:rPr>
                <w:rFonts w:ascii="Times New Roman" w:eastAsia="Times New Roman" w:hAnsi="Times New Roman"/>
              </w:rPr>
            </w:pPr>
            <w:r w:rsidRPr="00705E8C">
              <w:rPr>
                <w:rFonts w:ascii="Times New Roman" w:eastAsia="Times New Roman" w:hAnsi="Times New Roman"/>
              </w:rPr>
              <w:t>MPHME 7301</w:t>
            </w:r>
          </w:p>
        </w:tc>
        <w:tc>
          <w:tcPr>
            <w:tcW w:w="4389" w:type="dxa"/>
            <w:shd w:val="clear" w:color="auto" w:fill="auto"/>
          </w:tcPr>
          <w:p w:rsidR="0092375E" w:rsidRPr="00705E8C" w:rsidRDefault="0092375E" w:rsidP="00705E8C">
            <w:pPr>
              <w:spacing w:after="0" w:line="240" w:lineRule="auto"/>
              <w:ind w:right="66"/>
              <w:rPr>
                <w:rFonts w:ascii="Times New Roman" w:eastAsia="Times New Roman" w:hAnsi="Times New Roman"/>
              </w:rPr>
            </w:pPr>
            <w:r w:rsidRPr="00705E8C">
              <w:rPr>
                <w:rFonts w:ascii="Times New Roman" w:eastAsia="Times New Roman" w:hAnsi="Times New Roman"/>
              </w:rPr>
              <w:t>M &amp;E Project and Placement</w:t>
            </w:r>
          </w:p>
        </w:tc>
        <w:tc>
          <w:tcPr>
            <w:tcW w:w="1649" w:type="dxa"/>
            <w:shd w:val="clear" w:color="auto" w:fill="auto"/>
          </w:tcPr>
          <w:p w:rsidR="0092375E" w:rsidRPr="00705E8C" w:rsidRDefault="0092375E" w:rsidP="00705E8C">
            <w:pPr>
              <w:spacing w:after="0" w:line="240" w:lineRule="auto"/>
              <w:ind w:right="66"/>
              <w:jc w:val="right"/>
              <w:rPr>
                <w:rFonts w:ascii="Times New Roman" w:eastAsia="Times New Roman" w:hAnsi="Times New Roman"/>
              </w:rPr>
            </w:pPr>
            <w:r w:rsidRPr="00705E8C">
              <w:rPr>
                <w:rFonts w:ascii="Times New Roman" w:eastAsia="Times New Roman" w:hAnsi="Times New Roman"/>
              </w:rPr>
              <w:t>5</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ind w:right="66"/>
              <w:rPr>
                <w:rFonts w:ascii="Times New Roman" w:eastAsia="Times New Roman" w:hAnsi="Times New Roman"/>
                <w:b/>
              </w:rPr>
            </w:pPr>
            <w:r w:rsidRPr="00705E8C">
              <w:rPr>
                <w:rFonts w:ascii="Times New Roman" w:eastAsia="Times New Roman" w:hAnsi="Times New Roman"/>
                <w:b/>
              </w:rPr>
              <w:t xml:space="preserve">Total </w:t>
            </w:r>
          </w:p>
        </w:tc>
        <w:tc>
          <w:tcPr>
            <w:tcW w:w="4389" w:type="dxa"/>
            <w:shd w:val="clear" w:color="auto" w:fill="auto"/>
          </w:tcPr>
          <w:p w:rsidR="0092375E" w:rsidRPr="00705E8C" w:rsidRDefault="0092375E" w:rsidP="00705E8C">
            <w:pPr>
              <w:spacing w:after="0" w:line="240" w:lineRule="auto"/>
              <w:ind w:right="66"/>
              <w:rPr>
                <w:rFonts w:ascii="Times New Roman" w:eastAsia="Times New Roman" w:hAnsi="Times New Roman"/>
                <w:b/>
              </w:rPr>
            </w:pPr>
          </w:p>
        </w:tc>
        <w:tc>
          <w:tcPr>
            <w:tcW w:w="1649" w:type="dxa"/>
            <w:shd w:val="clear" w:color="auto" w:fill="auto"/>
          </w:tcPr>
          <w:p w:rsidR="0092375E" w:rsidRPr="00705E8C" w:rsidRDefault="0092375E" w:rsidP="00705E8C">
            <w:pPr>
              <w:spacing w:after="0" w:line="240" w:lineRule="auto"/>
              <w:ind w:right="66"/>
              <w:jc w:val="right"/>
              <w:rPr>
                <w:rFonts w:ascii="Times New Roman" w:eastAsia="Times New Roman" w:hAnsi="Times New Roman"/>
                <w:b/>
              </w:rPr>
            </w:pPr>
            <w:r w:rsidRPr="00705E8C">
              <w:rPr>
                <w:rFonts w:ascii="Times New Roman" w:eastAsia="Times New Roman" w:hAnsi="Times New Roman"/>
                <w:b/>
              </w:rPr>
              <w:t>5</w:t>
            </w:r>
          </w:p>
        </w:tc>
      </w:tr>
      <w:tr w:rsidR="0092375E" w:rsidRPr="00705E8C" w:rsidTr="0069614C">
        <w:trPr>
          <w:jc w:val="center"/>
        </w:trPr>
        <w:tc>
          <w:tcPr>
            <w:tcW w:w="7735" w:type="dxa"/>
            <w:gridSpan w:val="3"/>
            <w:shd w:val="clear" w:color="auto" w:fill="auto"/>
          </w:tcPr>
          <w:p w:rsidR="0092375E" w:rsidRPr="00705E8C" w:rsidRDefault="0092375E" w:rsidP="0092375E">
            <w:pPr>
              <w:spacing w:after="0" w:line="240" w:lineRule="auto"/>
              <w:ind w:right="66"/>
              <w:jc w:val="center"/>
              <w:rPr>
                <w:rFonts w:ascii="Times New Roman" w:eastAsia="Times New Roman" w:hAnsi="Times New Roman"/>
                <w:b/>
              </w:rPr>
            </w:pPr>
            <w:r w:rsidRPr="00705E8C">
              <w:rPr>
                <w:rFonts w:ascii="Times New Roman" w:eastAsia="Times New Roman" w:hAnsi="Times New Roman"/>
                <w:b/>
                <w:lang w:val="en-US"/>
              </w:rPr>
              <w:t>MPHME Year II: Semester I</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8201</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Evaluation Research Methods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4</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8202</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Proposal development and grants proposal  writing</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8203</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Dissemination and Communication</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8204</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sz w:val="24"/>
                <w:szCs w:val="24"/>
                <w:lang w:val="fr-FR"/>
              </w:rPr>
            </w:pPr>
            <w:r w:rsidRPr="00705E8C">
              <w:rPr>
                <w:rFonts w:ascii="Times New Roman" w:eastAsia="Times New Roman" w:hAnsi="Times New Roman"/>
                <w:sz w:val="24"/>
                <w:szCs w:val="24"/>
                <w:lang w:val="fr-FR"/>
              </w:rPr>
              <w:t>Policy Evaluations*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8205</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Economic Evaluations*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3</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8206</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M&amp;E Seminar series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sz w:val="24"/>
                <w:szCs w:val="24"/>
                <w:lang w:val="en-US"/>
              </w:rPr>
            </w:pPr>
            <w:r w:rsidRPr="00705E8C">
              <w:rPr>
                <w:rFonts w:ascii="Times New Roman" w:eastAsia="Times New Roman" w:hAnsi="Times New Roman"/>
                <w:sz w:val="24"/>
                <w:szCs w:val="24"/>
                <w:lang w:val="en-US"/>
              </w:rPr>
              <w:t>2</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b/>
                <w:lang w:val="en-US"/>
              </w:rPr>
            </w:pPr>
            <w:r w:rsidRPr="00705E8C">
              <w:rPr>
                <w:rFonts w:ascii="Times New Roman" w:eastAsia="Times New Roman" w:hAnsi="Times New Roman"/>
                <w:b/>
                <w:lang w:val="en-US"/>
              </w:rPr>
              <w:t>Total</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b/>
                <w:lang w:val="en-US"/>
              </w:rPr>
            </w:pP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b/>
                <w:lang w:val="en-US"/>
              </w:rPr>
            </w:pPr>
            <w:r w:rsidRPr="00705E8C">
              <w:rPr>
                <w:rFonts w:ascii="Times New Roman" w:eastAsia="Times New Roman" w:hAnsi="Times New Roman"/>
                <w:b/>
                <w:lang w:val="en-US"/>
              </w:rPr>
              <w:t>18</w:t>
            </w:r>
          </w:p>
        </w:tc>
      </w:tr>
      <w:tr w:rsidR="0092375E" w:rsidRPr="00705E8C" w:rsidTr="00E10BAD">
        <w:trPr>
          <w:jc w:val="center"/>
        </w:trPr>
        <w:tc>
          <w:tcPr>
            <w:tcW w:w="7735" w:type="dxa"/>
            <w:gridSpan w:val="3"/>
            <w:shd w:val="clear" w:color="auto" w:fill="auto"/>
          </w:tcPr>
          <w:p w:rsidR="0092375E" w:rsidRPr="00705E8C" w:rsidRDefault="0092375E" w:rsidP="0092375E">
            <w:pPr>
              <w:spacing w:after="0" w:line="240" w:lineRule="auto"/>
              <w:jc w:val="center"/>
              <w:rPr>
                <w:rFonts w:ascii="Times New Roman" w:eastAsia="Times New Roman" w:hAnsi="Times New Roman"/>
                <w:b/>
                <w:lang w:val="en-US"/>
              </w:rPr>
            </w:pPr>
            <w:r w:rsidRPr="00705E8C">
              <w:rPr>
                <w:rFonts w:ascii="Times New Roman" w:eastAsia="Times New Roman" w:hAnsi="Times New Roman"/>
                <w:b/>
                <w:lang w:val="en-US"/>
              </w:rPr>
              <w:t>MPHME Year II; Semester II</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8301</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Dissertation</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lang w:val="en-US"/>
              </w:rPr>
            </w:pPr>
            <w:r w:rsidRPr="00705E8C">
              <w:rPr>
                <w:rFonts w:ascii="Times New Roman" w:eastAsia="Times New Roman" w:hAnsi="Times New Roman"/>
                <w:lang w:val="en-US"/>
              </w:rPr>
              <w:t>9</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MPHME 8302</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lang w:val="en-US"/>
              </w:rPr>
            </w:pPr>
            <w:r w:rsidRPr="00705E8C">
              <w:rPr>
                <w:rFonts w:ascii="Times New Roman" w:eastAsia="Times New Roman" w:hAnsi="Times New Roman"/>
                <w:lang w:val="en-US"/>
              </w:rPr>
              <w:t>M&amp;E Seminar Series</w:t>
            </w: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lang w:val="en-US"/>
              </w:rPr>
            </w:pPr>
            <w:r w:rsidRPr="00705E8C">
              <w:rPr>
                <w:rFonts w:ascii="Times New Roman" w:eastAsia="Times New Roman" w:hAnsi="Times New Roman"/>
                <w:lang w:val="en-US"/>
              </w:rPr>
              <w:t>2</w:t>
            </w:r>
          </w:p>
        </w:tc>
      </w:tr>
      <w:tr w:rsidR="0092375E" w:rsidRPr="00705E8C" w:rsidTr="0092375E">
        <w:trPr>
          <w:jc w:val="center"/>
        </w:trPr>
        <w:tc>
          <w:tcPr>
            <w:tcW w:w="1697" w:type="dxa"/>
            <w:shd w:val="clear" w:color="auto" w:fill="auto"/>
          </w:tcPr>
          <w:p w:rsidR="0092375E" w:rsidRPr="00705E8C" w:rsidRDefault="0092375E" w:rsidP="00705E8C">
            <w:pPr>
              <w:spacing w:after="0" w:line="240" w:lineRule="auto"/>
              <w:jc w:val="both"/>
              <w:rPr>
                <w:rFonts w:ascii="Times New Roman" w:eastAsia="Times New Roman" w:hAnsi="Times New Roman"/>
                <w:b/>
                <w:lang w:val="en-US"/>
              </w:rPr>
            </w:pPr>
            <w:r w:rsidRPr="00705E8C">
              <w:rPr>
                <w:rFonts w:ascii="Times New Roman" w:eastAsia="Times New Roman" w:hAnsi="Times New Roman"/>
                <w:b/>
                <w:lang w:val="en-US"/>
              </w:rPr>
              <w:t xml:space="preserve">Total </w:t>
            </w:r>
          </w:p>
        </w:tc>
        <w:tc>
          <w:tcPr>
            <w:tcW w:w="4389" w:type="dxa"/>
            <w:shd w:val="clear" w:color="auto" w:fill="auto"/>
          </w:tcPr>
          <w:p w:rsidR="0092375E" w:rsidRPr="00705E8C" w:rsidRDefault="0092375E" w:rsidP="00705E8C">
            <w:pPr>
              <w:spacing w:after="0" w:line="240" w:lineRule="auto"/>
              <w:jc w:val="both"/>
              <w:rPr>
                <w:rFonts w:ascii="Times New Roman" w:eastAsia="Times New Roman" w:hAnsi="Times New Roman"/>
                <w:b/>
                <w:lang w:val="en-US"/>
              </w:rPr>
            </w:pPr>
          </w:p>
        </w:tc>
        <w:tc>
          <w:tcPr>
            <w:tcW w:w="1649" w:type="dxa"/>
            <w:shd w:val="clear" w:color="auto" w:fill="auto"/>
          </w:tcPr>
          <w:p w:rsidR="0092375E" w:rsidRPr="00705E8C" w:rsidRDefault="0092375E" w:rsidP="00705E8C">
            <w:pPr>
              <w:spacing w:after="0" w:line="240" w:lineRule="auto"/>
              <w:jc w:val="right"/>
              <w:rPr>
                <w:rFonts w:ascii="Times New Roman" w:eastAsia="Times New Roman" w:hAnsi="Times New Roman"/>
                <w:b/>
                <w:lang w:val="en-US"/>
              </w:rPr>
            </w:pPr>
            <w:r w:rsidRPr="00705E8C">
              <w:rPr>
                <w:rFonts w:ascii="Times New Roman" w:eastAsia="Times New Roman" w:hAnsi="Times New Roman"/>
                <w:b/>
                <w:lang w:val="en-US"/>
              </w:rPr>
              <w:t>11</w:t>
            </w:r>
          </w:p>
        </w:tc>
      </w:tr>
    </w:tbl>
    <w:p w:rsidR="00705E8C" w:rsidRPr="00705E8C" w:rsidRDefault="00705E8C" w:rsidP="00705E8C">
      <w:pPr>
        <w:spacing w:before="120" w:after="120" w:line="240" w:lineRule="auto"/>
        <w:ind w:right="66"/>
        <w:jc w:val="both"/>
        <w:rPr>
          <w:rFonts w:ascii="Times New Roman" w:hAnsi="Times New Roman"/>
          <w:sz w:val="24"/>
          <w:szCs w:val="24"/>
        </w:rPr>
      </w:pPr>
      <w:r w:rsidRPr="00705E8C">
        <w:rPr>
          <w:rFonts w:ascii="Times New Roman" w:hAnsi="Times New Roman"/>
          <w:sz w:val="24"/>
          <w:szCs w:val="24"/>
        </w:rPr>
        <w:t>*These are electives, the student chooses one</w:t>
      </w:r>
    </w:p>
    <w:p w:rsidR="00951FA1" w:rsidRDefault="0092375E"/>
    <w:p w:rsidR="00705E8C" w:rsidRPr="000944BA" w:rsidRDefault="0092375E" w:rsidP="0092375E">
      <w:pPr>
        <w:pStyle w:val="Heading1"/>
      </w:pPr>
      <w:r>
        <w:rPr>
          <w:rStyle w:val="Heading1Char"/>
          <w:b/>
        </w:rPr>
        <w:lastRenderedPageBreak/>
        <w:t>Fees Structure for t</w:t>
      </w:r>
      <w:r w:rsidRPr="000944BA">
        <w:rPr>
          <w:rStyle w:val="Heading1Char"/>
          <w:b/>
        </w:rPr>
        <w:t>he MPHME Programme</w:t>
      </w:r>
      <w:r w:rsidRPr="000944BA">
        <w:t xml:space="preserve"> (</w:t>
      </w:r>
      <w:r>
        <w:rPr>
          <w:lang w:val="en-US"/>
        </w:rPr>
        <w:t xml:space="preserve">per </w:t>
      </w:r>
      <w:bookmarkStart w:id="12" w:name="_GoBack"/>
      <w:bookmarkEnd w:id="12"/>
      <w:r w:rsidRPr="000944BA">
        <w:t>Academic Year)</w:t>
      </w:r>
    </w:p>
    <w:p w:rsidR="00705E8C" w:rsidRPr="000944BA" w:rsidRDefault="00705E8C" w:rsidP="00705E8C">
      <w:pPr>
        <w:spacing w:after="0" w:line="240" w:lineRule="auto"/>
        <w:rPr>
          <w:rFonts w:ascii="Times New Roman" w:hAnsi="Times New Roman"/>
          <w:sz w:val="24"/>
          <w:szCs w:val="24"/>
        </w:rPr>
      </w:pPr>
    </w:p>
    <w:p w:rsidR="00705E8C" w:rsidRPr="000944BA" w:rsidRDefault="00705E8C" w:rsidP="00705E8C">
      <w:pPr>
        <w:spacing w:after="0" w:line="240" w:lineRule="auto"/>
        <w:rPr>
          <w:rFonts w:ascii="Times New Roman" w:hAnsi="Times New Roman"/>
          <w:sz w:val="24"/>
          <w:szCs w:val="24"/>
        </w:rPr>
      </w:pPr>
      <w:r w:rsidRPr="000944BA">
        <w:rPr>
          <w:rFonts w:ascii="Times New Roman" w:hAnsi="Times New Roman"/>
          <w:sz w:val="24"/>
          <w:szCs w:val="24"/>
        </w:rPr>
        <w:t>These cost estimates are based on prevailing University approved rates. They are subject to change from time to time.</w:t>
      </w:r>
    </w:p>
    <w:p w:rsidR="00705E8C" w:rsidRPr="000944BA" w:rsidRDefault="00705E8C" w:rsidP="00705E8C">
      <w:pPr>
        <w:spacing w:after="0" w:line="240" w:lineRule="auto"/>
        <w:ind w:left="270"/>
        <w:rPr>
          <w:rFonts w:ascii="Times New Roman" w:hAnsi="Times New Roman"/>
          <w:sz w:val="24"/>
          <w:szCs w:val="24"/>
        </w:rPr>
      </w:pPr>
    </w:p>
    <w:tbl>
      <w:tblPr>
        <w:tblW w:w="7110" w:type="dxa"/>
        <w:tblInd w:w="288" w:type="dxa"/>
        <w:tblCellMar>
          <w:left w:w="0" w:type="dxa"/>
          <w:right w:w="0" w:type="dxa"/>
        </w:tblCellMar>
        <w:tblLook w:val="04A0" w:firstRow="1" w:lastRow="0" w:firstColumn="1" w:lastColumn="0" w:noHBand="0" w:noVBand="1"/>
      </w:tblPr>
      <w:tblGrid>
        <w:gridCol w:w="841"/>
        <w:gridCol w:w="2489"/>
        <w:gridCol w:w="1710"/>
        <w:gridCol w:w="2070"/>
      </w:tblGrid>
      <w:tr w:rsidR="00705E8C" w:rsidRPr="000944BA" w:rsidTr="001D7106">
        <w:trPr>
          <w:tblHead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b/>
                <w:sz w:val="24"/>
                <w:szCs w:val="24"/>
              </w:rPr>
            </w:pPr>
            <w:r w:rsidRPr="000944BA">
              <w:rPr>
                <w:rFonts w:ascii="Times New Roman" w:hAnsi="Times New Roman"/>
                <w:b/>
                <w:sz w:val="24"/>
                <w:szCs w:val="24"/>
              </w:rPr>
              <w:t>No.</w:t>
            </w:r>
          </w:p>
        </w:tc>
        <w:tc>
          <w:tcPr>
            <w:tcW w:w="24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b/>
                <w:sz w:val="24"/>
                <w:szCs w:val="24"/>
              </w:rPr>
            </w:pPr>
            <w:r w:rsidRPr="000944BA">
              <w:rPr>
                <w:rFonts w:ascii="Times New Roman" w:hAnsi="Times New Roman"/>
                <w:b/>
                <w:sz w:val="24"/>
                <w:szCs w:val="24"/>
              </w:rPr>
              <w:t>Item</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b/>
                <w:sz w:val="24"/>
                <w:szCs w:val="24"/>
              </w:rPr>
            </w:pPr>
            <w:r w:rsidRPr="000944BA">
              <w:rPr>
                <w:rFonts w:ascii="Times New Roman" w:hAnsi="Times New Roman"/>
                <w:b/>
                <w:sz w:val="24"/>
                <w:szCs w:val="24"/>
              </w:rPr>
              <w:t>Ugandans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b/>
                <w:sz w:val="24"/>
                <w:szCs w:val="24"/>
              </w:rPr>
            </w:pPr>
            <w:r w:rsidRPr="000944BA">
              <w:rPr>
                <w:rFonts w:ascii="Times New Roman" w:hAnsi="Times New Roman"/>
                <w:b/>
                <w:sz w:val="24"/>
                <w:szCs w:val="24"/>
              </w:rPr>
              <w:t>Non-Ugandans</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sz w:val="24"/>
                <w:szCs w:val="24"/>
              </w:rPr>
            </w:pPr>
            <w:r w:rsidRPr="000944BA">
              <w:rPr>
                <w:rFonts w:ascii="Times New Roman" w:hAnsi="Times New Roman"/>
                <w:sz w:val="24"/>
                <w:szCs w:val="24"/>
              </w:rPr>
              <w:t>1.</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sz w:val="24"/>
                <w:szCs w:val="24"/>
              </w:rPr>
            </w:pPr>
            <w:r w:rsidRPr="000944BA">
              <w:rPr>
                <w:rFonts w:ascii="Times New Roman" w:hAnsi="Times New Roman"/>
                <w:sz w:val="24"/>
                <w:szCs w:val="24"/>
              </w:rPr>
              <w:t>Tuition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Pr>
                <w:rFonts w:ascii="Times New Roman" w:hAnsi="Times New Roman"/>
                <w:sz w:val="24"/>
                <w:szCs w:val="24"/>
              </w:rPr>
              <w:t>5,000,</w:t>
            </w:r>
            <w:r w:rsidRPr="000944BA">
              <w:rPr>
                <w:rFonts w:ascii="Times New Roman" w:hAnsi="Times New Roman"/>
                <w:sz w:val="24"/>
                <w:szCs w:val="24"/>
              </w:rPr>
              <w:t>000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$5,000</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sz w:val="24"/>
                <w:szCs w:val="24"/>
              </w:rPr>
            </w:pPr>
            <w:r w:rsidRPr="000944BA">
              <w:rPr>
                <w:rFonts w:ascii="Times New Roman" w:hAnsi="Times New Roman"/>
                <w:sz w:val="24"/>
                <w:szCs w:val="24"/>
              </w:rPr>
              <w:t>2.</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sz w:val="24"/>
                <w:szCs w:val="24"/>
              </w:rPr>
            </w:pPr>
            <w:r w:rsidRPr="000944BA">
              <w:rPr>
                <w:rFonts w:ascii="Times New Roman" w:hAnsi="Times New Roman"/>
                <w:sz w:val="24"/>
                <w:szCs w:val="24"/>
              </w:rPr>
              <w:t>Administration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200,000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$240</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sz w:val="24"/>
                <w:szCs w:val="24"/>
              </w:rPr>
            </w:pPr>
            <w:r w:rsidRPr="000944BA">
              <w:rPr>
                <w:rFonts w:ascii="Times New Roman" w:hAnsi="Times New Roman"/>
                <w:sz w:val="24"/>
                <w:szCs w:val="24"/>
              </w:rPr>
              <w:t>3.</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sz w:val="24"/>
                <w:szCs w:val="24"/>
              </w:rPr>
            </w:pPr>
            <w:r w:rsidRPr="000944BA">
              <w:rPr>
                <w:rFonts w:ascii="Times New Roman" w:hAnsi="Times New Roman"/>
                <w:sz w:val="24"/>
                <w:szCs w:val="24"/>
              </w:rPr>
              <w:t>Examinations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200,000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$350</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sz w:val="24"/>
                <w:szCs w:val="24"/>
              </w:rPr>
            </w:pPr>
            <w:r w:rsidRPr="000944BA">
              <w:rPr>
                <w:rFonts w:ascii="Times New Roman" w:hAnsi="Times New Roman"/>
                <w:sz w:val="24"/>
                <w:szCs w:val="24"/>
              </w:rPr>
              <w:t>4.</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sz w:val="24"/>
                <w:szCs w:val="24"/>
              </w:rPr>
            </w:pPr>
            <w:r w:rsidRPr="000944BA">
              <w:rPr>
                <w:rFonts w:ascii="Times New Roman" w:hAnsi="Times New Roman"/>
                <w:sz w:val="24"/>
                <w:szCs w:val="24"/>
              </w:rPr>
              <w:t>Registration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120,000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$100</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sz w:val="24"/>
                <w:szCs w:val="24"/>
              </w:rPr>
            </w:pPr>
            <w:r w:rsidRPr="000944BA">
              <w:rPr>
                <w:rFonts w:ascii="Times New Roman" w:hAnsi="Times New Roman"/>
                <w:sz w:val="24"/>
                <w:szCs w:val="24"/>
              </w:rPr>
              <w:t>5.</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sz w:val="24"/>
                <w:szCs w:val="24"/>
              </w:rPr>
            </w:pPr>
            <w:r w:rsidRPr="000944BA">
              <w:rPr>
                <w:rFonts w:ascii="Times New Roman" w:hAnsi="Times New Roman"/>
                <w:sz w:val="24"/>
                <w:szCs w:val="24"/>
              </w:rPr>
              <w:t>Library</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20,000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$20</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rPr>
                <w:rFonts w:ascii="Times New Roman" w:hAnsi="Times New Roman"/>
                <w:sz w:val="24"/>
                <w:szCs w:val="24"/>
              </w:rPr>
            </w:pPr>
            <w:r w:rsidRPr="000944BA">
              <w:rPr>
                <w:rFonts w:ascii="Times New Roman" w:hAnsi="Times New Roman"/>
                <w:sz w:val="24"/>
                <w:szCs w:val="24"/>
              </w:rPr>
              <w:t>6.</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sz w:val="24"/>
                <w:szCs w:val="24"/>
              </w:rPr>
            </w:pPr>
            <w:r w:rsidRPr="000944BA">
              <w:rPr>
                <w:rFonts w:ascii="Times New Roman" w:hAnsi="Times New Roman"/>
                <w:sz w:val="24"/>
                <w:szCs w:val="24"/>
              </w:rPr>
              <w:t>Technology</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80,000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270"/>
              <w:jc w:val="right"/>
              <w:rPr>
                <w:rFonts w:ascii="Times New Roman" w:hAnsi="Times New Roman"/>
                <w:sz w:val="24"/>
                <w:szCs w:val="24"/>
              </w:rPr>
            </w:pPr>
            <w:r w:rsidRPr="000944BA">
              <w:rPr>
                <w:rFonts w:ascii="Times New Roman" w:hAnsi="Times New Roman"/>
                <w:sz w:val="24"/>
                <w:szCs w:val="24"/>
              </w:rPr>
              <w:t>$80</w:t>
            </w:r>
          </w:p>
        </w:tc>
      </w:tr>
      <w:tr w:rsidR="00705E8C" w:rsidRPr="000944BA" w:rsidTr="001D71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E8C" w:rsidRPr="000944BA" w:rsidRDefault="00705E8C" w:rsidP="001D7106">
            <w:pPr>
              <w:keepNext/>
              <w:spacing w:after="0" w:line="240" w:lineRule="auto"/>
              <w:ind w:left="270"/>
              <w:outlineLvl w:val="1"/>
              <w:rPr>
                <w:rFonts w:ascii="Times New Roman" w:hAnsi="Times New Roman"/>
                <w:b/>
                <w:sz w:val="24"/>
                <w:szCs w:val="24"/>
              </w:rPr>
            </w:pP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705E8C" w:rsidRPr="000944BA" w:rsidRDefault="00705E8C" w:rsidP="001D7106">
            <w:pPr>
              <w:spacing w:after="0" w:line="240" w:lineRule="auto"/>
              <w:ind w:left="42"/>
              <w:rPr>
                <w:rFonts w:ascii="Times New Roman" w:hAnsi="Times New Roman"/>
                <w:b/>
                <w:sz w:val="24"/>
                <w:szCs w:val="24"/>
              </w:rPr>
            </w:pPr>
            <w:r w:rsidRPr="000944BA">
              <w:rPr>
                <w:rFonts w:ascii="Times New Roman" w:hAnsi="Times New Roman"/>
                <w:b/>
                <w:sz w:val="24"/>
                <w:szCs w:val="24"/>
              </w:rPr>
              <w:t>Total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tcPr>
          <w:p w:rsidR="00705E8C" w:rsidRPr="000944BA" w:rsidRDefault="00705E8C" w:rsidP="001D7106">
            <w:pPr>
              <w:spacing w:after="0" w:line="240" w:lineRule="auto"/>
              <w:ind w:left="270"/>
              <w:jc w:val="right"/>
              <w:rPr>
                <w:rFonts w:ascii="Times New Roman" w:hAnsi="Times New Roman"/>
                <w:b/>
                <w:sz w:val="24"/>
                <w:szCs w:val="24"/>
              </w:rPr>
            </w:pPr>
            <w:r>
              <w:rPr>
                <w:rFonts w:ascii="Times New Roman" w:hAnsi="Times New Roman"/>
                <w:b/>
                <w:sz w:val="24"/>
                <w:szCs w:val="24"/>
              </w:rPr>
              <w:t>5,6</w:t>
            </w:r>
            <w:r w:rsidRPr="000944BA">
              <w:rPr>
                <w:rFonts w:ascii="Times New Roman" w:hAnsi="Times New Roman"/>
                <w:b/>
                <w:sz w:val="24"/>
                <w:szCs w:val="24"/>
              </w:rPr>
              <w:t>20,000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tcPr>
          <w:p w:rsidR="00705E8C" w:rsidRPr="000944BA" w:rsidRDefault="00705E8C" w:rsidP="001D7106">
            <w:pPr>
              <w:spacing w:after="0" w:line="240" w:lineRule="auto"/>
              <w:ind w:left="270"/>
              <w:jc w:val="right"/>
              <w:rPr>
                <w:rFonts w:ascii="Times New Roman" w:hAnsi="Times New Roman"/>
                <w:b/>
                <w:sz w:val="24"/>
                <w:szCs w:val="24"/>
              </w:rPr>
            </w:pPr>
            <w:r w:rsidRPr="000944BA">
              <w:rPr>
                <w:rFonts w:ascii="Times New Roman" w:hAnsi="Times New Roman"/>
                <w:b/>
                <w:sz w:val="24"/>
                <w:szCs w:val="24"/>
              </w:rPr>
              <w:t xml:space="preserve">$5,790 </w:t>
            </w:r>
          </w:p>
        </w:tc>
      </w:tr>
    </w:tbl>
    <w:p w:rsidR="00705E8C" w:rsidRPr="000944BA" w:rsidRDefault="00705E8C" w:rsidP="00705E8C">
      <w:pPr>
        <w:spacing w:after="0" w:line="240" w:lineRule="auto"/>
        <w:ind w:left="270"/>
        <w:rPr>
          <w:rFonts w:ascii="Times New Roman" w:hAnsi="Times New Roman"/>
          <w:sz w:val="24"/>
          <w:szCs w:val="24"/>
        </w:rPr>
      </w:pPr>
    </w:p>
    <w:p w:rsidR="00705E8C" w:rsidRDefault="00705E8C"/>
    <w:sectPr w:rsidR="0070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14F"/>
    <w:multiLevelType w:val="multilevel"/>
    <w:tmpl w:val="B2E0BE66"/>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3666A2E"/>
    <w:multiLevelType w:val="hybridMultilevel"/>
    <w:tmpl w:val="5F409D92"/>
    <w:lvl w:ilvl="0" w:tplc="3DF69A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56185"/>
    <w:multiLevelType w:val="multilevel"/>
    <w:tmpl w:val="1D2C7E72"/>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36BD28F3"/>
    <w:multiLevelType w:val="hybridMultilevel"/>
    <w:tmpl w:val="75F0F9CE"/>
    <w:lvl w:ilvl="0" w:tplc="08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D910038"/>
    <w:multiLevelType w:val="hybridMultilevel"/>
    <w:tmpl w:val="A5C642DC"/>
    <w:lvl w:ilvl="0" w:tplc="3DF69A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C163E"/>
    <w:multiLevelType w:val="hybridMultilevel"/>
    <w:tmpl w:val="1D3AB8BE"/>
    <w:lvl w:ilvl="0" w:tplc="3DF69A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8C"/>
    <w:rsid w:val="0004517D"/>
    <w:rsid w:val="00676DF0"/>
    <w:rsid w:val="006A74B0"/>
    <w:rsid w:val="00705E8C"/>
    <w:rsid w:val="0092375E"/>
    <w:rsid w:val="00EB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4CD6-A61F-41F5-BD60-5167C11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8C"/>
    <w:pPr>
      <w:spacing w:after="200" w:line="276" w:lineRule="auto"/>
    </w:pPr>
    <w:rPr>
      <w:rFonts w:ascii="Calibri" w:eastAsia="Calibri" w:hAnsi="Calibri" w:cs="Times New Roman"/>
      <w:lang w:val="en-GB"/>
    </w:rPr>
  </w:style>
  <w:style w:type="paragraph" w:styleId="Heading1">
    <w:name w:val="heading 1"/>
    <w:basedOn w:val="Normal"/>
    <w:next w:val="Normal"/>
    <w:link w:val="Heading1Char"/>
    <w:autoRedefine/>
    <w:qFormat/>
    <w:rsid w:val="00705E8C"/>
    <w:pPr>
      <w:keepNext/>
      <w:keepLines/>
      <w:spacing w:before="120" w:after="0"/>
      <w:outlineLvl w:val="0"/>
    </w:pPr>
    <w:rPr>
      <w:rFonts w:ascii="Times New Roman" w:hAnsi="Times New Roman"/>
      <w:b/>
      <w:bCs/>
      <w:sz w:val="28"/>
      <w:szCs w:val="24"/>
      <w:lang w:val="x-none" w:eastAsia="x-none"/>
    </w:rPr>
  </w:style>
  <w:style w:type="paragraph" w:styleId="Heading2">
    <w:name w:val="heading 2"/>
    <w:basedOn w:val="Normal"/>
    <w:next w:val="Normal"/>
    <w:link w:val="Heading2Char"/>
    <w:autoRedefine/>
    <w:qFormat/>
    <w:rsid w:val="006A74B0"/>
    <w:pPr>
      <w:keepNext/>
      <w:spacing w:before="120" w:after="120" w:line="240" w:lineRule="auto"/>
      <w:outlineLvl w:val="1"/>
    </w:pPr>
    <w:rPr>
      <w:rFonts w:ascii="Times New Roman" w:hAnsi="Times New Roman"/>
      <w:b/>
      <w:bCs/>
      <w:iCs/>
      <w:sz w:val="24"/>
      <w:szCs w:val="24"/>
      <w:lang w:val="x-none" w:eastAsia="x-none"/>
    </w:rPr>
  </w:style>
  <w:style w:type="paragraph" w:styleId="Heading3">
    <w:name w:val="heading 3"/>
    <w:basedOn w:val="Normal"/>
    <w:next w:val="Normal"/>
    <w:link w:val="Heading3Char"/>
    <w:uiPriority w:val="9"/>
    <w:semiHidden/>
    <w:unhideWhenUsed/>
    <w:qFormat/>
    <w:rsid w:val="00705E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E8C"/>
    <w:rPr>
      <w:rFonts w:ascii="Times New Roman" w:eastAsia="Calibri" w:hAnsi="Times New Roman" w:cs="Times New Roman"/>
      <w:b/>
      <w:bCs/>
      <w:sz w:val="28"/>
      <w:szCs w:val="24"/>
      <w:lang w:val="x-none" w:eastAsia="x-none"/>
    </w:rPr>
  </w:style>
  <w:style w:type="character" w:customStyle="1" w:styleId="Heading2Char">
    <w:name w:val="Heading 2 Char"/>
    <w:basedOn w:val="DefaultParagraphFont"/>
    <w:link w:val="Heading2"/>
    <w:rsid w:val="006A74B0"/>
    <w:rPr>
      <w:rFonts w:ascii="Times New Roman" w:eastAsia="Calibri" w:hAnsi="Times New Roman" w:cs="Times New Roman"/>
      <w:b/>
      <w:bCs/>
      <w:iCs/>
      <w:sz w:val="24"/>
      <w:szCs w:val="24"/>
      <w:lang w:val="x-none" w:eastAsia="x-none"/>
    </w:rPr>
  </w:style>
  <w:style w:type="paragraph" w:styleId="ListParagraph">
    <w:name w:val="List Paragraph"/>
    <w:basedOn w:val="Normal"/>
    <w:uiPriority w:val="34"/>
    <w:qFormat/>
    <w:rsid w:val="00705E8C"/>
    <w:pPr>
      <w:ind w:left="720"/>
      <w:contextualSpacing/>
    </w:pPr>
  </w:style>
  <w:style w:type="character" w:customStyle="1" w:styleId="Heading3Char">
    <w:name w:val="Heading 3 Char"/>
    <w:basedOn w:val="DefaultParagraphFont"/>
    <w:link w:val="Heading3"/>
    <w:uiPriority w:val="9"/>
    <w:semiHidden/>
    <w:rsid w:val="00705E8C"/>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2019-04-03T08:11:00Z</dcterms:created>
  <dcterms:modified xsi:type="dcterms:W3CDTF">2019-04-03T08:28:00Z</dcterms:modified>
</cp:coreProperties>
</file>